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E832" w14:textId="77777777" w:rsidR="008142F4" w:rsidRDefault="008142F4">
      <w:pPr>
        <w:pStyle w:val="a3"/>
        <w:rPr>
          <w:rFonts w:ascii="Garamond" w:hAnsi="Garamond"/>
          <w:color w:val="808080"/>
          <w:sz w:val="29"/>
        </w:rPr>
      </w:pPr>
      <w:r>
        <w:rPr>
          <w:rFonts w:ascii="Garamond" w:hAnsi="Garamond"/>
          <w:color w:val="808080"/>
          <w:sz w:val="29"/>
        </w:rPr>
        <w:t>ОБЩЕСТВО С ОГРАНИЧЕННОЙ ОТВЕТСТВЕННОСТЬЮ</w:t>
      </w:r>
    </w:p>
    <w:p w14:paraId="780F9DD4" w14:textId="6E5CB2ED" w:rsidR="008142F4" w:rsidRDefault="00903146">
      <w:pPr>
        <w:spacing w:after="120"/>
        <w:jc w:val="center"/>
        <w:rPr>
          <w:rFonts w:ascii="Garamond" w:hAnsi="Garamond"/>
          <w:b/>
          <w:spacing w:val="40"/>
          <w:sz w:val="60"/>
        </w:rPr>
      </w:pPr>
      <w:r>
        <w:rPr>
          <w:rFonts w:ascii="Garamond" w:hAnsi="Garamond"/>
          <w:b/>
          <w:noProof/>
          <w:spacing w:val="40"/>
          <w:sz w:val="60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745CE91B" wp14:editId="46AE3D6C">
                <wp:simplePos x="0" y="0"/>
                <wp:positionH relativeFrom="column">
                  <wp:posOffset>-19051</wp:posOffset>
                </wp:positionH>
                <wp:positionV relativeFrom="paragraph">
                  <wp:posOffset>431165</wp:posOffset>
                </wp:positionV>
                <wp:extent cx="9801225" cy="274320"/>
                <wp:effectExtent l="0" t="19050" r="2857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1225" cy="274320"/>
                          <a:chOff x="1872" y="2448"/>
                          <a:chExt cx="8208" cy="43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72" y="2448"/>
                            <a:ext cx="820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72" y="2880"/>
                            <a:ext cx="820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4CD8D" id="Group 2" o:spid="_x0000_s1026" style="position:absolute;margin-left:-1.5pt;margin-top:33.95pt;width:771.75pt;height:21.6pt;z-index:251657728" coordorigin="1872,2448" coordsize="820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" o:allowincell="f">
                <v:line id="Line 3" o:spid="_x0000_s1027" style="position:absolute;visibility:visible;mso-wrap-style:square" from="1872,2448" to="10080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<v:stroke linestyle="thinThin"/>
                </v:line>
                <v:line id="Line 4" o:spid="_x0000_s1028" style="position:absolute;visibility:visible;mso-wrap-style:square" from="1872,2880" to="100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 w:rsidR="008142F4">
        <w:rPr>
          <w:rFonts w:ascii="Garamond" w:hAnsi="Garamond"/>
          <w:b/>
          <w:spacing w:val="40"/>
          <w:sz w:val="60"/>
        </w:rPr>
        <w:t>«ТАИФ-ИНВЕСТ»</w:t>
      </w:r>
    </w:p>
    <w:p w14:paraId="0A26BBCA" w14:textId="77777777" w:rsidR="008142F4" w:rsidRDefault="008142F4">
      <w:pPr>
        <w:jc w:val="center"/>
        <w:rPr>
          <w:rFonts w:ascii="Garamond" w:hAnsi="Garamond"/>
          <w:color w:val="808080"/>
          <w:sz w:val="20"/>
        </w:rPr>
      </w:pPr>
      <w:r>
        <w:rPr>
          <w:rFonts w:ascii="Garamond" w:hAnsi="Garamond"/>
          <w:color w:val="808080"/>
          <w:sz w:val="20"/>
        </w:rPr>
        <w:t>Лицензии Ф</w:t>
      </w:r>
      <w:r w:rsidR="00EB608D">
        <w:rPr>
          <w:rFonts w:ascii="Garamond" w:hAnsi="Garamond"/>
          <w:color w:val="808080"/>
          <w:sz w:val="20"/>
        </w:rPr>
        <w:t>СФР</w:t>
      </w:r>
      <w:r>
        <w:rPr>
          <w:rFonts w:ascii="Garamond" w:hAnsi="Garamond"/>
          <w:color w:val="808080"/>
          <w:sz w:val="20"/>
        </w:rPr>
        <w:t xml:space="preserve"> </w:t>
      </w:r>
      <w:r w:rsidR="00341962">
        <w:rPr>
          <w:rFonts w:ascii="Garamond" w:hAnsi="Garamond"/>
          <w:color w:val="808080"/>
          <w:sz w:val="20"/>
        </w:rPr>
        <w:t xml:space="preserve">России </w:t>
      </w:r>
      <w:r>
        <w:rPr>
          <w:rFonts w:ascii="Garamond" w:hAnsi="Garamond"/>
          <w:color w:val="808080"/>
          <w:sz w:val="20"/>
        </w:rPr>
        <w:t>№016-06677-010000, 016-06666-100000, 016-06688-001000 от 27.05.</w:t>
      </w:r>
      <w:r w:rsidR="00DA63D0">
        <w:rPr>
          <w:rFonts w:ascii="Garamond" w:hAnsi="Garamond"/>
          <w:color w:val="808080"/>
          <w:sz w:val="20"/>
        </w:rPr>
        <w:t>20</w:t>
      </w:r>
      <w:r>
        <w:rPr>
          <w:rFonts w:ascii="Garamond" w:hAnsi="Garamond"/>
          <w:color w:val="808080"/>
          <w:sz w:val="20"/>
        </w:rPr>
        <w:t>03 г.</w:t>
      </w:r>
    </w:p>
    <w:p w14:paraId="0AFEEBE9" w14:textId="77777777" w:rsidR="008142F4" w:rsidRDefault="008142F4">
      <w:pPr>
        <w:spacing w:after="120"/>
      </w:pPr>
    </w:p>
    <w:p w14:paraId="19296B1B" w14:textId="77777777" w:rsidR="006C4BDF" w:rsidRPr="00634677" w:rsidRDefault="006C4BDF" w:rsidP="00DE0CD9">
      <w:pPr>
        <w:spacing w:before="240" w:after="240"/>
        <w:jc w:val="center"/>
      </w:pPr>
      <w:r w:rsidRPr="00634677">
        <w:t>Уважаемые клиенты!</w:t>
      </w:r>
    </w:p>
    <w:p w14:paraId="0AB605F8" w14:textId="1D0011B1" w:rsidR="00F84699" w:rsidRDefault="006C4BDF" w:rsidP="00383654">
      <w:pPr>
        <w:ind w:firstLine="708"/>
        <w:jc w:val="both"/>
      </w:pPr>
      <w:r w:rsidRPr="002F249D">
        <w:t xml:space="preserve">Информируем Вас о том, </w:t>
      </w:r>
      <w:r w:rsidR="007653C0">
        <w:t xml:space="preserve">что </w:t>
      </w:r>
      <w:r w:rsidR="00443423">
        <w:t>Методика определения инвестиционного профиля Учредителя управления ООО «ТАИФ-ИНВЕСТ»</w:t>
      </w:r>
      <w:r w:rsidR="00443423">
        <w:t xml:space="preserve"> приведена</w:t>
      </w:r>
      <w:r w:rsidR="00F84699">
        <w:t xml:space="preserve"> в соответствие с «Базовым стандартом </w:t>
      </w:r>
      <w:r w:rsidR="00906AED">
        <w:t>совершения управляющим операций на финансовом рынке</w:t>
      </w:r>
      <w:r w:rsidR="00F84699">
        <w:t xml:space="preserve">» (утв. Банком России </w:t>
      </w:r>
      <w:r w:rsidR="00906AED" w:rsidRPr="00906AED">
        <w:t>07.0</w:t>
      </w:r>
      <w:r w:rsidR="00906AED">
        <w:t>8</w:t>
      </w:r>
      <w:r w:rsidR="00906AED" w:rsidRPr="00906AED">
        <w:t xml:space="preserve">.2025 </w:t>
      </w:r>
      <w:r w:rsidR="002441D1">
        <w:br/>
      </w:r>
      <w:r w:rsidR="00906AED" w:rsidRPr="00906AED">
        <w:t xml:space="preserve">№ </w:t>
      </w:r>
      <w:r w:rsidR="00906AED">
        <w:rPr>
          <w:rFonts w:ascii="Montserrat" w:hAnsi="Montserrat"/>
          <w:color w:val="000000"/>
          <w:shd w:val="clear" w:color="auto" w:fill="FFFFFF"/>
        </w:rPr>
        <w:t>КФНП-26</w:t>
      </w:r>
      <w:r w:rsidR="00F84699">
        <w:t>), вступ</w:t>
      </w:r>
      <w:r w:rsidR="00906AED">
        <w:t>ающим в силу с 05.11.2025 года.</w:t>
      </w:r>
    </w:p>
    <w:p w14:paraId="3FE3999A" w14:textId="77777777" w:rsidR="00E55AD7" w:rsidRPr="002F249D" w:rsidRDefault="00E55AD7" w:rsidP="00383654">
      <w:pPr>
        <w:ind w:firstLine="708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02"/>
        <w:gridCol w:w="7786"/>
      </w:tblGrid>
      <w:tr w:rsidR="00525F46" w14:paraId="3694F9B3" w14:textId="77777777" w:rsidTr="00525F46">
        <w:tc>
          <w:tcPr>
            <w:tcW w:w="7602" w:type="dxa"/>
          </w:tcPr>
          <w:p w14:paraId="0DB3BCFD" w14:textId="6A3109DE" w:rsidR="002441D1" w:rsidRPr="00525F46" w:rsidRDefault="002441D1" w:rsidP="002441D1">
            <w:pPr>
              <w:tabs>
                <w:tab w:val="left" w:pos="8543"/>
              </w:tabs>
              <w:jc w:val="center"/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Старая редакция</w:t>
            </w:r>
          </w:p>
        </w:tc>
        <w:tc>
          <w:tcPr>
            <w:tcW w:w="7786" w:type="dxa"/>
          </w:tcPr>
          <w:p w14:paraId="4365E1D1" w14:textId="3E3BA910" w:rsidR="002441D1" w:rsidRPr="00525F46" w:rsidRDefault="002441D1" w:rsidP="002441D1">
            <w:pPr>
              <w:tabs>
                <w:tab w:val="left" w:pos="8543"/>
              </w:tabs>
              <w:jc w:val="center"/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Новая редакция (с 09.02.2026)</w:t>
            </w:r>
          </w:p>
        </w:tc>
      </w:tr>
      <w:tr w:rsidR="00525F46" w14:paraId="2FD9B541" w14:textId="77777777" w:rsidTr="00525F46">
        <w:trPr>
          <w:trHeight w:val="977"/>
        </w:trPr>
        <w:tc>
          <w:tcPr>
            <w:tcW w:w="7602" w:type="dxa"/>
          </w:tcPr>
          <w:p w14:paraId="55B378C4" w14:textId="4A09BF29" w:rsidR="00525F46" w:rsidRPr="00525F46" w:rsidRDefault="00525F46" w:rsidP="00525F46">
            <w:pPr>
              <w:tabs>
                <w:tab w:val="left" w:pos="993"/>
                <w:tab w:val="left" w:pos="1985"/>
              </w:tabs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1.1. </w:t>
            </w:r>
            <w:r w:rsidRPr="00525F46">
              <w:rPr>
                <w:rFonts w:ascii="Times New Roman" w:eastAsia="Batang" w:hAnsi="Times New Roman"/>
              </w:rPr>
              <w:t xml:space="preserve">Настоящая Методика определения инвестиционного профиля Учредителя управления ООО «ТАИФ-ИНВЕСТ» (далее по тексту - Методика) разработана в соответствии с </w:t>
            </w:r>
            <w:r w:rsidRPr="00525F46">
              <w:rPr>
                <w:rFonts w:ascii="Times New Roman" w:eastAsia="Batang" w:hAnsi="Times New Roman"/>
                <w:color w:val="000000"/>
              </w:rPr>
              <w:t xml:space="preserve"> Положением Банка России от 03.08.2015 г. № 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 </w:t>
            </w:r>
            <w:r w:rsidRPr="00525F46">
              <w:rPr>
                <w:rFonts w:ascii="Times New Roman" w:hAnsi="Times New Roman"/>
              </w:rPr>
              <w:t>и иными нормативными правовыми актами Российской Федерации  и описывает порядок определения инвестиционного профиля Учредителя управления и перечень сведений, необходимых для его определения</w:t>
            </w:r>
            <w:r w:rsidRPr="00525F46">
              <w:rPr>
                <w:rFonts w:ascii="Times New Roman" w:eastAsia="Batang" w:hAnsi="Times New Roman"/>
              </w:rPr>
              <w:t xml:space="preserve">. </w:t>
            </w:r>
          </w:p>
          <w:p w14:paraId="612CDC48" w14:textId="6DD215ED" w:rsidR="00525F46" w:rsidRPr="00525F46" w:rsidRDefault="00525F46" w:rsidP="00525F46">
            <w:pPr>
              <w:tabs>
                <w:tab w:val="left" w:pos="993"/>
                <w:tab w:val="left" w:pos="1985"/>
              </w:tabs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1.2. </w:t>
            </w:r>
            <w:r w:rsidRPr="00525F46">
              <w:rPr>
                <w:rFonts w:ascii="Times New Roman" w:eastAsia="Batang" w:hAnsi="Times New Roman"/>
              </w:rPr>
              <w:t>Настоящая Методика разработана в целях обеспечения соответствия риска портфеля Учредителя управления ООО «ТАИФ-ИНВЕСТ» (далее – Доверительный управляющий) допустимому уровню, соответствующему Инвестиционному профилю Учредителя управления.</w:t>
            </w:r>
          </w:p>
          <w:p w14:paraId="110B9146" w14:textId="4E7E16A1" w:rsidR="00525F46" w:rsidRPr="00525F46" w:rsidRDefault="00525F46" w:rsidP="00525F46">
            <w:pPr>
              <w:tabs>
                <w:tab w:val="left" w:pos="993"/>
                <w:tab w:val="left" w:pos="1985"/>
              </w:tabs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1.3. </w:t>
            </w:r>
            <w:r w:rsidRPr="00525F46">
              <w:rPr>
                <w:rFonts w:ascii="Times New Roman" w:eastAsia="Batang" w:hAnsi="Times New Roman"/>
              </w:rPr>
              <w:t>Настоящая Методика распространяется на сделки и операции, осуществляемые в рамках деятельности Доверительного управляющего как профессионального участника рынка ценных бумаг по управлению ценными бумагами.</w:t>
            </w:r>
          </w:p>
          <w:p w14:paraId="1D2F1490" w14:textId="07CF2A4C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1.4. </w:t>
            </w:r>
            <w:r w:rsidRPr="00525F46">
              <w:rPr>
                <w:rFonts w:ascii="Times New Roman" w:eastAsia="Batang" w:hAnsi="Times New Roman"/>
              </w:rPr>
              <w:t>В настоящей Методике используются следующие термины и определения:</w:t>
            </w:r>
          </w:p>
          <w:p w14:paraId="3196532B" w14:textId="4C0E2D40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>---</w:t>
            </w:r>
          </w:p>
          <w:p w14:paraId="56EAC48B" w14:textId="325BD7DA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--- </w:t>
            </w:r>
          </w:p>
          <w:p w14:paraId="08748ECE" w14:textId="485F06E5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 xml:space="preserve">--- </w:t>
            </w:r>
          </w:p>
          <w:p w14:paraId="0098658C" w14:textId="77777777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</w:p>
          <w:p w14:paraId="0149991E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--- </w:t>
            </w:r>
          </w:p>
          <w:p w14:paraId="7F83D48F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7F7E68C8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  <w:iCs/>
              </w:rPr>
            </w:pPr>
            <w:r w:rsidRPr="00525F46">
              <w:rPr>
                <w:rFonts w:ascii="Times New Roman" w:hAnsi="Times New Roman"/>
                <w:b/>
                <w:bCs/>
                <w:iCs/>
              </w:rPr>
              <w:t>Допустимый риск</w:t>
            </w:r>
            <w:r w:rsidRPr="00525F46">
              <w:rPr>
                <w:rFonts w:ascii="Times New Roman" w:hAnsi="Times New Roman"/>
                <w:bCs/>
                <w:iCs/>
              </w:rPr>
              <w:t xml:space="preserve"> – риск, который способен нести Учредитель управления, не являющийся квалифицированным инвестором, на установленном Инвестиционном горизонте. Определяется как предельный размер убытка, который Учредитель управления считает допустимым, в % от объема средств, передаваемых в доверительное управление;</w:t>
            </w:r>
          </w:p>
          <w:p w14:paraId="2F86CF8C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  <w:iCs/>
              </w:rPr>
            </w:pPr>
            <w:r w:rsidRPr="00525F46">
              <w:rPr>
                <w:rFonts w:ascii="Times New Roman" w:hAnsi="Times New Roman"/>
                <w:b/>
                <w:bCs/>
                <w:iCs/>
              </w:rPr>
              <w:t>Фактический риск (</w:t>
            </w:r>
            <w:r w:rsidRPr="00525F46">
              <w:rPr>
                <w:rFonts w:ascii="Times New Roman" w:hAnsi="Times New Roman"/>
                <w:b/>
                <w:bCs/>
                <w:iCs/>
                <w:lang w:val="en-US"/>
              </w:rPr>
              <w:t>R</w:t>
            </w:r>
            <w:r w:rsidRPr="00525F46">
              <w:rPr>
                <w:rFonts w:ascii="Times New Roman" w:hAnsi="Times New Roman"/>
                <w:b/>
                <w:bCs/>
                <w:iCs/>
              </w:rPr>
              <w:t>)</w:t>
            </w:r>
            <w:r w:rsidRPr="00525F46">
              <w:rPr>
                <w:rFonts w:ascii="Times New Roman" w:hAnsi="Times New Roman"/>
                <w:bCs/>
                <w:iCs/>
              </w:rPr>
              <w:t xml:space="preserve"> – риск возможных убытков, который несет Учредитель управления, не являющийся квалифицированным инвестором, на установленном Инвестиционном горизонте;</w:t>
            </w:r>
          </w:p>
          <w:p w14:paraId="61D4F052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  <w:iCs/>
              </w:rPr>
            </w:pPr>
            <w:r w:rsidRPr="00525F46">
              <w:rPr>
                <w:rFonts w:ascii="Times New Roman" w:hAnsi="Times New Roman"/>
                <w:b/>
                <w:bCs/>
                <w:iCs/>
              </w:rPr>
              <w:t>Ожидаемая доходность</w:t>
            </w:r>
            <w:r w:rsidRPr="00525F46">
              <w:rPr>
                <w:rFonts w:ascii="Times New Roman" w:hAnsi="Times New Roman"/>
                <w:bCs/>
                <w:iCs/>
              </w:rPr>
              <w:t xml:space="preserve"> – доходность от доверительного управления, на которую рассчитывает Учредитель управления в рассматриваемом Инвестиционном горизонте;</w:t>
            </w:r>
          </w:p>
          <w:p w14:paraId="0C3C1BA7" w14:textId="145DC61E" w:rsidR="002441D1" w:rsidRPr="00525F46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</w:tc>
        <w:tc>
          <w:tcPr>
            <w:tcW w:w="7786" w:type="dxa"/>
          </w:tcPr>
          <w:p w14:paraId="26F25D97" w14:textId="544433EB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1.1.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Настоящая Методика определения инвестиционного профиля Учредителя управления ООО «ТАИФ-ИНВЕСТ» (далее по тексту - Методика) разработана в соответствии с  Положением Банка России от 03.08.2015 г. № 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 и иными нормативны</w:t>
            </w:r>
            <w:bookmarkStart w:id="0" w:name="_GoBack"/>
            <w:bookmarkEnd w:id="0"/>
            <w:r w:rsidRPr="00525F46">
              <w:rPr>
                <w:rFonts w:ascii="Times New Roman" w:hAnsi="Times New Roman"/>
                <w:bCs/>
              </w:rPr>
              <w:t xml:space="preserve">ми правовыми актами Российской Федерации  и описывает порядок определения инвестиционного профиля Учредителя управления и перечень сведений, необходимых для его определения. </w:t>
            </w:r>
          </w:p>
          <w:p w14:paraId="3AFD3A08" w14:textId="30FEA1DD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1.2.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Настоящая Методика разработана в целях обеспечения соответствия риска портфеля Учредителя управления ООО «ТАИФ-ИНВЕСТ» (далее – Доверительный управляющий) допустимому уровню, соответствующему Инвестиционному профилю Учредителя управления.</w:t>
            </w:r>
          </w:p>
          <w:p w14:paraId="1A5E0944" w14:textId="77777777" w:rsid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1.3.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Настоящая Методика распространяется на сделки и операции, осуществляемые в рамках деятельности Доверительного управляющего как профессионального участника рынка ценных бумаг по управлению ценными бумагами.</w:t>
            </w:r>
          </w:p>
          <w:p w14:paraId="5B7B1357" w14:textId="0882BB74" w:rsidR="00443423" w:rsidRPr="00525F46" w:rsidRDefault="00443423" w:rsidP="00525F46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 xml:space="preserve">1.4. </w:t>
            </w:r>
            <w:r w:rsidRPr="00525F46">
              <w:rPr>
                <w:rFonts w:ascii="Times New Roman" w:hAnsi="Times New Roman"/>
                <w:bCs/>
              </w:rPr>
              <w:t>Настоящая Методика обеспечивает сбалансированную оценку информации, полученной Доверительным управляющим для определения Инвестиционного профиля Учредителя управления, а также мотивированное соответствие определенного Доверительным управляющим Инвестиционного профиля такой оценке.</w:t>
            </w:r>
          </w:p>
          <w:p w14:paraId="1BA1CD98" w14:textId="5741558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1.5.</w:t>
            </w:r>
            <w:r w:rsidRPr="00525F46"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До начала совершения сделок по договорам доверительного управления Доверительный управляющий определяет инвестиционный профиль Учредителя управления. Инвестиционный профиль определяется в индивидуальном порядке по каждому договору доверительного управления, заключенному с Учредителем управления.</w:t>
            </w:r>
          </w:p>
          <w:p w14:paraId="295903A8" w14:textId="08C76A50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1.6.</w:t>
            </w:r>
            <w:r w:rsidRPr="00525F46"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Доверительным управляющим не осуществляется присвоение Учредителям управления стандартного инвестиционного профиля, в связи с чем Методика не включает положения, предусмотренные Базовым стандартом, утвержденным Банком России, Положением Банка России № 482-П, для случая, когда Доверительным управляющим осуществляется присвоение Учредителям управления стандартного инвестиционного профиля.</w:t>
            </w:r>
          </w:p>
          <w:p w14:paraId="3F876D94" w14:textId="77777777" w:rsidR="00525F46" w:rsidRDefault="00443423" w:rsidP="00525F46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hAnsi="Times New Roman"/>
                <w:bCs/>
              </w:rPr>
              <w:t>1.7.</w:t>
            </w:r>
            <w:r w:rsidRPr="00525F46">
              <w:rPr>
                <w:rFonts w:ascii="Times New Roman" w:hAnsi="Times New Roman"/>
                <w:bCs/>
              </w:rPr>
              <w:t xml:space="preserve"> </w:t>
            </w:r>
            <w:r w:rsidRPr="00525F46">
              <w:rPr>
                <w:rFonts w:ascii="Times New Roman" w:hAnsi="Times New Roman"/>
                <w:bCs/>
              </w:rPr>
              <w:t>Доверительный управляющий до заключения договора доверительного управления информирует Учредителей управления о рисках, связанных с осуществлением операций на финансовых рынках, в связи с передачей имущества в доверительное управление. Информирование о рисках осуществляется в соответствии с требованиями нормативных документов Банка России, включая Базовый стандарт, утвержденный Банком России.</w:t>
            </w:r>
            <w:r w:rsidR="00525F46" w:rsidRPr="00525F46">
              <w:rPr>
                <w:rFonts w:ascii="Times New Roman" w:eastAsia="Batang" w:hAnsi="Times New Roman"/>
              </w:rPr>
              <w:t xml:space="preserve"> </w:t>
            </w:r>
          </w:p>
          <w:p w14:paraId="03DA16DF" w14:textId="1D2214DF" w:rsidR="00525F46" w:rsidRPr="00525F46" w:rsidRDefault="00525F46" w:rsidP="00525F46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eastAsia="Batang" w:hAnsi="Times New Roman"/>
              </w:rPr>
              <w:t>1.8. В настоящей Методике используются следующие термины и определения:</w:t>
            </w:r>
          </w:p>
          <w:p w14:paraId="60AC22C8" w14:textId="77777777" w:rsidR="00525F46" w:rsidRPr="00525F46" w:rsidRDefault="00525F46" w:rsidP="00525F46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46BF2E38" w14:textId="77777777" w:rsidR="00525F46" w:rsidRPr="00525F46" w:rsidRDefault="00525F46" w:rsidP="00525F46">
            <w:pPr>
              <w:tabs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  <w:bCs/>
                <w:iCs/>
              </w:rPr>
            </w:pPr>
            <w:r w:rsidRPr="00525F46">
              <w:rPr>
                <w:rFonts w:ascii="Times New Roman" w:eastAsia="Batang" w:hAnsi="Times New Roman"/>
                <w:b/>
                <w:bCs/>
                <w:iCs/>
              </w:rPr>
              <w:t>Допустимый риск</w:t>
            </w:r>
            <w:r w:rsidRPr="00525F46">
              <w:rPr>
                <w:rFonts w:ascii="Times New Roman" w:eastAsia="Batang" w:hAnsi="Times New Roman"/>
                <w:bCs/>
                <w:iCs/>
              </w:rPr>
              <w:t xml:space="preserve"> – определенный Доверительным управляющим риск, который согласен и способен нести Учредитель управления, в абсолютном или относительном числовом выражении </w:t>
            </w:r>
            <w:proofErr w:type="gramStart"/>
            <w:r w:rsidRPr="00525F46">
              <w:rPr>
                <w:rFonts w:ascii="Times New Roman" w:eastAsia="Batang" w:hAnsi="Times New Roman"/>
                <w:bCs/>
                <w:iCs/>
              </w:rPr>
              <w:t>Определяется</w:t>
            </w:r>
            <w:proofErr w:type="gramEnd"/>
            <w:r w:rsidRPr="00525F46">
              <w:rPr>
                <w:rFonts w:ascii="Times New Roman" w:eastAsia="Batang" w:hAnsi="Times New Roman"/>
                <w:bCs/>
                <w:iCs/>
              </w:rPr>
              <w:t xml:space="preserve"> как предельный размер убытка, который Учредитель управления считает допустимым, в % от объема средств, передаваемых в доверительное управление;</w:t>
            </w:r>
          </w:p>
          <w:p w14:paraId="2F5CF2D6" w14:textId="77777777" w:rsidR="00525F46" w:rsidRPr="00525F46" w:rsidRDefault="00525F46" w:rsidP="00525F46">
            <w:pPr>
              <w:tabs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  <w:bCs/>
                <w:iCs/>
              </w:rPr>
            </w:pPr>
            <w:r w:rsidRPr="00525F46">
              <w:rPr>
                <w:rFonts w:ascii="Times New Roman" w:eastAsia="Batang" w:hAnsi="Times New Roman"/>
                <w:b/>
                <w:bCs/>
                <w:iCs/>
              </w:rPr>
              <w:t>Фактический риск (</w:t>
            </w:r>
            <w:r w:rsidRPr="00525F46">
              <w:rPr>
                <w:rFonts w:ascii="Times New Roman" w:eastAsia="Batang" w:hAnsi="Times New Roman"/>
                <w:b/>
                <w:bCs/>
                <w:iCs/>
                <w:lang w:val="en-US"/>
              </w:rPr>
              <w:t>R</w:t>
            </w:r>
            <w:r w:rsidRPr="00525F46">
              <w:rPr>
                <w:rFonts w:ascii="Times New Roman" w:eastAsia="Batang" w:hAnsi="Times New Roman"/>
                <w:b/>
                <w:bCs/>
                <w:iCs/>
              </w:rPr>
              <w:t>)</w:t>
            </w:r>
            <w:r w:rsidRPr="00525F46">
              <w:rPr>
                <w:rFonts w:ascii="Times New Roman" w:eastAsia="Batang" w:hAnsi="Times New Roman"/>
                <w:bCs/>
                <w:iCs/>
              </w:rPr>
              <w:t xml:space="preserve"> – риск, который несет Учредитель управления за определенный период времени (включает в себя риск убытков, в том числе риск изменения стоимости Имущества (активов)).</w:t>
            </w:r>
          </w:p>
          <w:p w14:paraId="1BDCC314" w14:textId="4114580D" w:rsidR="00525F46" w:rsidRDefault="00525F46" w:rsidP="00525F46">
            <w:pPr>
              <w:tabs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  <w:bCs/>
                <w:iCs/>
              </w:rPr>
            </w:pPr>
            <w:r w:rsidRPr="00525F46">
              <w:rPr>
                <w:rFonts w:ascii="Times New Roman" w:eastAsia="Batang" w:hAnsi="Times New Roman"/>
                <w:b/>
                <w:bCs/>
                <w:iCs/>
              </w:rPr>
              <w:t>Ожидаемая доходность</w:t>
            </w:r>
            <w:r w:rsidRPr="00525F46">
              <w:rPr>
                <w:rFonts w:ascii="Times New Roman" w:eastAsia="Batang" w:hAnsi="Times New Roman"/>
                <w:bCs/>
                <w:iCs/>
              </w:rPr>
              <w:t xml:space="preserve"> – ожидаемая доходность от доверительного управления, которая определяется управляющим исходя из инвестиционных целей Учредителя управления и с учетом допустимого риска, в числовом выражении. Ожидаемая доходность не устанавливает обязанность Доверительного управляющего гарантировать ее Учредителю управления;</w:t>
            </w:r>
          </w:p>
          <w:p w14:paraId="4482B188" w14:textId="56F8BD93" w:rsidR="00525F46" w:rsidRPr="00525F46" w:rsidRDefault="00525F46" w:rsidP="00525F46">
            <w:pPr>
              <w:tabs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  <w:bCs/>
                <w:iCs/>
              </w:rPr>
            </w:pPr>
            <w:r>
              <w:rPr>
                <w:rFonts w:ascii="Times New Roman" w:eastAsia="Batang" w:hAnsi="Times New Roman"/>
                <w:bCs/>
                <w:iCs/>
              </w:rPr>
              <w:t>…</w:t>
            </w:r>
          </w:p>
          <w:p w14:paraId="78FD7E0D" w14:textId="6208B10E" w:rsidR="002441D1" w:rsidRPr="00525F46" w:rsidRDefault="002441D1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</w:p>
        </w:tc>
      </w:tr>
      <w:tr w:rsidR="00525F46" w14:paraId="480E458E" w14:textId="77777777" w:rsidTr="00525F46">
        <w:trPr>
          <w:trHeight w:val="1826"/>
        </w:trPr>
        <w:tc>
          <w:tcPr>
            <w:tcW w:w="7602" w:type="dxa"/>
          </w:tcPr>
          <w:p w14:paraId="22960F42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2.1. Определение Инвестиционного профиля Учредителя управления осуществляется до наступления начальной даты Инвестиционного горизонта и устанавливается на весь срок соответствующего периода.</w:t>
            </w:r>
          </w:p>
          <w:p w14:paraId="71D41DC8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2.2. Инвестиционный профиль Учредителя управления определяется для каждого договора доверительного управления на основе предоставляемой Учредителем управления информации, перечень которой представлен в Опросном листе для определения инвестиционного профиля Учредителя управления (далее – Опросный лист) (Приложение № 1 к настоящей Методике). </w:t>
            </w:r>
          </w:p>
          <w:p w14:paraId="71877472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2.3. Инвестиционный профиль Учредителя управления, являющегося квалифицированным инвестором, определяется Доверительным управляющим на основании предоставленной Учредителем управления информации о предполагаемом сроке инвестирования и ожидаемой доходности.</w:t>
            </w:r>
          </w:p>
          <w:p w14:paraId="748B1DBD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2.4. Информация, предоставленная Учредителем управления не являющимся квалифицированным инвестором в Опросном листе, подлежит оценке в соответствие с «Таблицей баллов для составления Инвестиционного Профиля клиента», приведённой в Приложении № 2а к настоящей Методике. </w:t>
            </w:r>
          </w:p>
          <w:p w14:paraId="1800E442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В зависимости от итоговой суммы баллов, согласно Приложению № 2б к настоящей Методике, определяется Допустимый риск Учредителя управления и рекомендуемая стратегия доверительного управления – Индивидуальная инвестиционная стратегия. В зависимости от предпочтений Учредителя управления и его склонности к риску Учредитель управления согласовывает с Доверительным управляющим Индивидуальную инвестиционную стратегию.</w:t>
            </w:r>
          </w:p>
          <w:p w14:paraId="7541708B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 выборе Учредителем управления Индивидуальной инвестиционной стратегии Стороны согласуют параметры Индивидуальной инвестиционной стратегии согласно форме по Приложению №4 к Регламенту доверительного управления ценными бумагами и денежными средствами ООО «ТАИФ-ИНВЕСТ</w:t>
            </w:r>
            <w:proofErr w:type="gramStart"/>
            <w:r w:rsidRPr="00525F46">
              <w:rPr>
                <w:rFonts w:ascii="Times New Roman" w:hAnsi="Times New Roman"/>
              </w:rPr>
              <w:t>»</w:t>
            </w:r>
            <w:proofErr w:type="gramEnd"/>
            <w:r w:rsidRPr="00525F46">
              <w:rPr>
                <w:rFonts w:ascii="Times New Roman" w:hAnsi="Times New Roman"/>
              </w:rPr>
              <w:t xml:space="preserve"> и в соответствии с Инвестиционным профилем Учредителя управления.</w:t>
            </w:r>
          </w:p>
          <w:p w14:paraId="6A878A04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2.5. Инвестиционный горизонт равен 1 (одному) году и не может превышать срок, на который заключается договор доверительного управления. </w:t>
            </w:r>
          </w:p>
          <w:p w14:paraId="6CC6AFAA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2.6. Если Инвестиционный горизонт меньше срока, на который заключается договор доверительного управления, Инвестиционный профиль Учредителя управления определяется за каждый Инвестиционный горизонт, входящий в указанный срок.</w:t>
            </w:r>
          </w:p>
          <w:p w14:paraId="1D4E0266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2.7. Сформированный Инвестиционный профиль предоставляется Учредителю управления для согласования. Инвестиционный профиль Учредителя управления отражается Доверительным управляющим в документе, подписанным уполномоченным лицом, составленным в бумажной форме и (или) в форме электронного документа в двух экземплярах, один из которых передается (направляется) Учредителю управления, другой подлежит хранению Доверительным управляющим в течение срока действия договора доверительного управления с этим Учредителем управления, а также в течение трех лет со дня его прекращения. </w:t>
            </w:r>
          </w:p>
          <w:p w14:paraId="7A188858" w14:textId="54BEBD6C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2.8. В последующем Управляющий осуществляет доверительное управление ценными бумагами и денежными средствами Учредителя управления, принимая все зависящие от него разумные меры, исходя из установленного Инвестиционного профиля Учредителя управления.</w:t>
            </w:r>
          </w:p>
        </w:tc>
        <w:tc>
          <w:tcPr>
            <w:tcW w:w="7786" w:type="dxa"/>
          </w:tcPr>
          <w:p w14:paraId="3475C52E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2.1. Инвестиционный профиль Учредителя управления определяется как: </w:t>
            </w:r>
          </w:p>
          <w:p w14:paraId="251A5399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- доходность от доверительного управления, на которую рассчитывает Учредитель управления (Ожидаемая доходность); </w:t>
            </w:r>
          </w:p>
          <w:p w14:paraId="7E05DEE8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- риск, который согласен и способен нести Учредитель управления (Допустимый риск); </w:t>
            </w:r>
          </w:p>
          <w:p w14:paraId="424571AD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период времени, за который определяются ожидаемая доходность и допустимый риск (Инвестиционный горизонт).</w:t>
            </w:r>
          </w:p>
          <w:p w14:paraId="7D26DC60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2.2. Определение Инвестиционного профиля Учредителя управления осуществляется до наступления начальной даты Инвестиционного горизонта и устанавливается на весь срок соответствующего периода.</w:t>
            </w:r>
          </w:p>
          <w:p w14:paraId="56E1499B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2.3. Инвестиционный профиль Учредителя управления определяется для каждого договора доверительного управления на основании предоставляемой Учредителем управления и (или) третьими лицами информации (сведений), перечень которой представлен в Опросном листе для определения инвестиционного профиля Учредителя управления (далее – Опросный лист) (Приложение № 1 к настоящей Методике). </w:t>
            </w:r>
          </w:p>
          <w:p w14:paraId="1BD1AD88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 заключении второго и последующих договоров доверительного управления инвестиционный профиль может определяться на основании сведений, на основании которых определен инвестиционный профиль по ранее заключенному договору доверительного управления.</w:t>
            </w:r>
          </w:p>
          <w:p w14:paraId="55FAF54D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2.4. Доверительный управляющий не проверяет достоверность сведений, предоставленных клиентом для определения его инвестиционного профиля. При определении инвестиционного профиля Доверительный управляющий информирует клиента о рисках предоставления клиентом недостоверной информации для определения его инвестиционного профиля.</w:t>
            </w:r>
          </w:p>
          <w:p w14:paraId="17A15BF9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2.5. Инвестиционный профиль Учредителя управления-юридического лица, а также Учредителя управления –физического лица, являющегося квалифицированным инвестором, определяется Доверительным управляющим на основании предоставленной Учредителем управления информации о цели(-</w:t>
            </w:r>
            <w:proofErr w:type="spellStart"/>
            <w:r w:rsidRPr="00525F46">
              <w:rPr>
                <w:rFonts w:ascii="Times New Roman" w:hAnsi="Times New Roman"/>
              </w:rPr>
              <w:t>ях</w:t>
            </w:r>
            <w:proofErr w:type="spellEnd"/>
            <w:r w:rsidRPr="00525F46">
              <w:rPr>
                <w:rFonts w:ascii="Times New Roman" w:hAnsi="Times New Roman"/>
              </w:rPr>
              <w:t>) инвестирования за период, предусмотренный настоящей Методикой; доходности от доверительного управления, на которую рассчитывает Учредитель управления; сведений, которые позволяют определить риск, который Учредитель управления согласен нести, перечень которых представлен в Опросном листе (Приложение № 1 к настоящей Методике)предполагаемом сроке инвестирования и ожидаемой доходности.</w:t>
            </w:r>
          </w:p>
          <w:p w14:paraId="2452207F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2.6. Информация, предоставленная Учредителем управления не являющимся квалифицированным инвестором в Опросном листе, подлежит оценке в соответствие с «Таблицей баллов для составления Инвестиционного Профиля клиента», приведённой в Приложении № 2а к настоящей Методике. </w:t>
            </w:r>
          </w:p>
          <w:p w14:paraId="7DB57516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В зависимости от итоговой суммы баллов, согласно Приложению № 2б к настоящей Методике, определяется Допустимый риск Учредителя управления и рекомендуемая стратегия доверительного управления – Индивидуальная инвестиционная стратегия. В зависимости от предпочтений Учредителя управления и его склонности к риску Учредитель управления согласовывает с Доверительным управляющим Индивидуальную инвестиционную стратегию.</w:t>
            </w:r>
          </w:p>
          <w:p w14:paraId="3559BBBD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 выборе Учредителем управления Индивидуальной инвестиционной стратегии Стороны согласуют параметры Индивидуальной инвестиционной стратегии согласно форме по Приложению №4 к Регламенту доверительного управления ценными бумагами и денежными средствами ООО «ТАИФ-ИНВЕСТ</w:t>
            </w:r>
            <w:proofErr w:type="gramStart"/>
            <w:r w:rsidRPr="00525F46">
              <w:rPr>
                <w:rFonts w:ascii="Times New Roman" w:hAnsi="Times New Roman"/>
              </w:rPr>
              <w:t>»</w:t>
            </w:r>
            <w:proofErr w:type="gramEnd"/>
            <w:r w:rsidRPr="00525F46">
              <w:rPr>
                <w:rFonts w:ascii="Times New Roman" w:hAnsi="Times New Roman"/>
              </w:rPr>
              <w:t xml:space="preserve"> и в соответствии с Инвестиционным профилем Учредителя управления.</w:t>
            </w:r>
          </w:p>
          <w:p w14:paraId="4E84071E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2.7. Доверительный управляющий не проводит оценку способности нести инвестиционный риск в отношении клиентов, относящихся к квалифицированным инвесторам в силу Закона о рынке ценных бумаг или признанных квалифицированными инвесторами Банком в соответствии с Указанием Банка России № 7060-У и Регламентом признания клиентов квалифицированными инвесторами ООО «ТАИФ-ИНВЕСТ».</w:t>
            </w:r>
          </w:p>
          <w:p w14:paraId="3A11F259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2.8. Инвестиционный горизонт равен 1 (одному) году и не может превышать срок, на который заключается договор доверительного управления. </w:t>
            </w:r>
          </w:p>
          <w:p w14:paraId="5D8B221D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2.9. Если Инвестиционный горизонт меньше срока, на который заключается договор доверительного управления, Инвестиционный профиль Учредителя управления определяется за каждый Инвестиционный горизонт, входящий в указанный срок.</w:t>
            </w:r>
          </w:p>
          <w:p w14:paraId="3DA88DF3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2.10. Сформированный Инвестиционный профиль предоставляется Учредителю управления для согласования. Инвестиционный профиль Учредителя управления отражается Доверительным управляющим в документе, подписанным уполномоченным лицом, составленным в бумажной форме и (или) в форме электронного документа в двух экземплярах, один из которых передается (направляется) Учредителю управления, другой подлежит хранению Доверительным управляющим в течение срока действия договора доверительного управления с этим Учредителем управления, а также в течение трех лет со дня его прекращения. </w:t>
            </w:r>
          </w:p>
          <w:p w14:paraId="065A6DD6" w14:textId="77777777" w:rsidR="00443423" w:rsidRPr="00525F46" w:rsidRDefault="00443423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2.11. В последующем Управляющий осуществляет доверительное управление ценными бумагами и денежными средствами Учредителя управления, принимая все зависящие от него разумные меры, исходя из установленного Инвестиционного профиля Учредителя управления.</w:t>
            </w:r>
          </w:p>
          <w:p w14:paraId="1A339600" w14:textId="3CD34CAF" w:rsidR="00443423" w:rsidRPr="00525F46" w:rsidRDefault="00443423" w:rsidP="00443423">
            <w:pPr>
              <w:tabs>
                <w:tab w:val="left" w:pos="993"/>
                <w:tab w:val="left" w:pos="1985"/>
              </w:tabs>
              <w:spacing w:before="120"/>
              <w:jc w:val="both"/>
              <w:rPr>
                <w:rFonts w:ascii="Times New Roman" w:eastAsia="Batang" w:hAnsi="Times New Roman"/>
              </w:rPr>
            </w:pPr>
            <w:r w:rsidRPr="00525F46">
              <w:rPr>
                <w:rFonts w:ascii="Times New Roman" w:hAnsi="Times New Roman"/>
              </w:rPr>
              <w:t>2.12. В целях исполнения п. 2.13 Базового</w:t>
            </w:r>
            <w:r w:rsidR="00D06CF8" w:rsidRPr="00525F46">
              <w:rPr>
                <w:rFonts w:ascii="Times New Roman" w:hAnsi="Times New Roman"/>
              </w:rPr>
              <w:t xml:space="preserve"> стандарта Доверительный управл</w:t>
            </w:r>
            <w:r w:rsidRPr="00525F46">
              <w:rPr>
                <w:rFonts w:ascii="Times New Roman" w:hAnsi="Times New Roman"/>
              </w:rPr>
              <w:t>яющий может осуществлять передачу Учредителю управления, являющемуся неквалифицированным инвестором, финансовых инструментов в случае если такая передача предусмотрена условиями Договора предусмотрена возможность передачи Учредителю управления полностью или частично финансовых инструментов, и у Учредителя управления открыты действующие брокерские счета и/или счета депо.</w:t>
            </w:r>
          </w:p>
        </w:tc>
      </w:tr>
      <w:tr w:rsidR="00525F46" w14:paraId="3DE575E9" w14:textId="77777777" w:rsidTr="00525F46">
        <w:tc>
          <w:tcPr>
            <w:tcW w:w="7602" w:type="dxa"/>
          </w:tcPr>
          <w:p w14:paraId="2F194E02" w14:textId="7CD0228F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6.1.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Доверительный управляющий вправе изменить Инвестиционный профиль с согласия Учредителя управления.</w:t>
            </w:r>
          </w:p>
          <w:p w14:paraId="78D26DBA" w14:textId="1AE5F7FB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6.2.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Инвестиционный профиль Учредителя управления может быть изменен Доверительным управляющим в следующих случаях:</w:t>
            </w:r>
          </w:p>
          <w:p w14:paraId="3BC871F4" w14:textId="282A178C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получения Доверительным управляющим информации/документов от Учредителя управления, влияющих на оценку Инвестиционного профиля Учредителя управления;</w:t>
            </w:r>
          </w:p>
          <w:p w14:paraId="13C88160" w14:textId="7FE81B53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Индивидуальную инвестиционную стратегию;</w:t>
            </w:r>
          </w:p>
          <w:p w14:paraId="0E17EA4A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 в случае внесения изменений Доверительным управляющим во внутренние документы, связанные с порядком определения Инвестиционного профиля Учредителя управления;</w:t>
            </w:r>
          </w:p>
          <w:p w14:paraId="4683C504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получения разрешения Учредителя управления на возобновление операций после превышения величины Допустимого риска;</w:t>
            </w:r>
          </w:p>
          <w:p w14:paraId="482A03C4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изменения экономической ситуации в Российской Федерации, в том числе изменения ключевой ставки Банка России;</w:t>
            </w:r>
          </w:p>
          <w:p w14:paraId="0EDF63D4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законодательство Российской Федерации, в том числе нормативные акты Банка России;</w:t>
            </w:r>
          </w:p>
          <w:p w14:paraId="2B056587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Базовый стандарт;</w:t>
            </w:r>
          </w:p>
          <w:p w14:paraId="0914B7A6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- в случае внесения изменений во внутренний стандарт (стандарты) саморегулируемой организации, членом которой является Управляющий. </w:t>
            </w:r>
          </w:p>
          <w:p w14:paraId="64755D2C" w14:textId="226B0D40" w:rsidR="00443423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6.3.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Если при истечении Инвестиционного горизонта договор доверительного управления продолжает действовать, то при наличии убытков Доверительный управляющий имеет право пересмотреть Инвестиционный профиль Учредителя управления для нового Инвестиционного горизонта.</w:t>
            </w:r>
          </w:p>
        </w:tc>
        <w:tc>
          <w:tcPr>
            <w:tcW w:w="7786" w:type="dxa"/>
          </w:tcPr>
          <w:p w14:paraId="674B927B" w14:textId="10864B43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6.1.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Доверительный управляющий вправе изменить Инвестиционный профиль с согласия Учредителя управления.</w:t>
            </w:r>
          </w:p>
          <w:p w14:paraId="593F5B23" w14:textId="68915579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6.2.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Инвестиционный профиль Учредителя управления может быть изменен Доверительным управляющим в следующих случаях:</w:t>
            </w:r>
          </w:p>
          <w:p w14:paraId="6E98417A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по требованию Учредителя управления на основе предоставленных Учредителем управления сведений об изменении его инвестиционных целей;</w:t>
            </w:r>
          </w:p>
          <w:p w14:paraId="6214D782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при получении от Учредителя управления и (или) третьих лиц сведений об уменьшении уровня допустимого риска этого Учредителя управления;</w:t>
            </w:r>
          </w:p>
          <w:p w14:paraId="549C8F89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Индивидуальную инвестиционную стратегию;</w:t>
            </w:r>
          </w:p>
          <w:p w14:paraId="153B5789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 в случае внесения изменений Доверительным управляющим во внутренние документы, связанные с порядком определения Инвестиционного профиля Учредителя управления;</w:t>
            </w:r>
          </w:p>
          <w:p w14:paraId="2099D14D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получения разрешения Учредителя управления на возобновление операций после превышения величины Допустимого риска;</w:t>
            </w:r>
          </w:p>
          <w:p w14:paraId="47FF4918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изменения экономической ситуации в Российской Федерации, в том числе изменения ключевой ставки Банка России;</w:t>
            </w:r>
          </w:p>
          <w:p w14:paraId="27A3FA8F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законодательство Российской Федерации, в том числе нормативные акты Банка России;</w:t>
            </w:r>
          </w:p>
          <w:p w14:paraId="58CFF572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- в случае внесения изменений в Базовый стандарт;</w:t>
            </w:r>
          </w:p>
          <w:p w14:paraId="3D080AC7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- в случае внесения изменений во внутренний стандарт (стандарты) саморегулируемой организации, членом которой является Управляющий. </w:t>
            </w:r>
          </w:p>
          <w:p w14:paraId="78925180" w14:textId="6134BCA4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6.3.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Если при истечении Инвестиционного горизонта договор доверительного управления продолжает действовать, то при наличии убытков Доверительный управляющий имеет право пересмотреть Инвестиционный профиль Учредителя управления для нового Инвестиционного горизонта.</w:t>
            </w:r>
          </w:p>
          <w:p w14:paraId="05844205" w14:textId="0B9B4999" w:rsidR="00443423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6.4.</w:t>
            </w:r>
            <w:r w:rsidRPr="00525F46">
              <w:rPr>
                <w:rFonts w:ascii="Times New Roman" w:hAnsi="Times New Roman"/>
              </w:rPr>
              <w:t xml:space="preserve"> </w:t>
            </w:r>
            <w:r w:rsidRPr="00525F46">
              <w:rPr>
                <w:rFonts w:ascii="Times New Roman" w:hAnsi="Times New Roman"/>
              </w:rPr>
              <w:t>До согласования с Учредителем управления повторно определенного инвестиционного профиля Доверительный управляющий осуществляет доверительное управление Имуществом (активами) Учредителя управления в соответствии с последним согласованным с ним инвестиционным профилем, если иное не предусмотрено договором доверительного управления.</w:t>
            </w:r>
          </w:p>
        </w:tc>
      </w:tr>
      <w:tr w:rsidR="00525F46" w14:paraId="154FF047" w14:textId="77777777" w:rsidTr="00525F46">
        <w:tc>
          <w:tcPr>
            <w:tcW w:w="7602" w:type="dxa"/>
          </w:tcPr>
          <w:p w14:paraId="134F60EB" w14:textId="746E1F6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Приложение №1 Опросный лист для определения инвестиционного профиля Учредителя управления</w:t>
            </w:r>
          </w:p>
          <w:p w14:paraId="3FB7A968" w14:textId="3F88F0B6" w:rsidR="00525F46" w:rsidRPr="00525F46" w:rsidRDefault="00525F46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7891865D" w14:textId="59072724" w:rsidR="00525F46" w:rsidRPr="00525F46" w:rsidRDefault="00525F46" w:rsidP="00D06CF8">
            <w:pPr>
              <w:tabs>
                <w:tab w:val="left" w:pos="8543"/>
              </w:tabs>
              <w:rPr>
                <w:rFonts w:ascii="Times New Roman" w:hAnsi="Times New Roman"/>
                <w:b/>
              </w:rPr>
            </w:pPr>
            <w:r w:rsidRPr="00525F46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08A92165" wp14:editId="1C41EC20">
                  <wp:extent cx="4455042" cy="1424940"/>
                  <wp:effectExtent l="0" t="0" r="3175" b="3810"/>
                  <wp:docPr id="7" name="Рисунок 7" descr="Z:\РЕГЛАМЕНТЫ\2025_ ДЕЙСТВУЮЩИЕ ВНД\Отдел управления активами\Доверительное управление\09.02.26 ДУ\2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Z:\РЕГЛАМЕНТЫ\2025_ ДЕЙСТВУЮЩИЕ ВНД\Отдел управления активами\Доверительное управление\09.02.26 ДУ\2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385" cy="1427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A9B3F" w14:textId="77777777" w:rsidR="00D06CF8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01247228" w14:textId="37FA0A0B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0E601D45" wp14:editId="184F884E">
                  <wp:extent cx="5092168" cy="2583611"/>
                  <wp:effectExtent l="0" t="0" r="0" b="7620"/>
                  <wp:docPr id="10" name="Рисунок 10" descr="Z:\РЕГЛАМЕНТЫ\2025_ ДЕЙСТВУЮЩИЕ ВНД\Отдел управления активами\Доверительное управление\09.02.26 ДУ\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Z:\РЕГЛАМЕНТЫ\2025_ ДЕЙСТВУЮЩИЕ ВНД\Отдел управления активами\Доверительное управление\09.02.26 ДУ\1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942"/>
                          <a:stretch/>
                        </pic:blipFill>
                        <pic:spPr bwMode="auto">
                          <a:xfrm>
                            <a:off x="0" y="0"/>
                            <a:ext cx="5118116" cy="259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</w:tcPr>
          <w:p w14:paraId="098B6BD8" w14:textId="038756C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Приложение №</w:t>
            </w:r>
            <w:r w:rsidRPr="00525F46">
              <w:rPr>
                <w:rFonts w:ascii="Times New Roman" w:hAnsi="Times New Roman"/>
              </w:rPr>
              <w:t>1</w:t>
            </w:r>
            <w:r w:rsidRPr="00525F46">
              <w:rPr>
                <w:rFonts w:ascii="Times New Roman" w:hAnsi="Times New Roman"/>
              </w:rPr>
              <w:t xml:space="preserve"> Опросный лист для определения инвестиционного профиля Учредителя управления</w:t>
            </w:r>
          </w:p>
          <w:p w14:paraId="7A18CFE7" w14:textId="7BAA3539" w:rsidR="00525F46" w:rsidRPr="00525F46" w:rsidRDefault="00525F46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7D1883CE" w14:textId="2D6BE099" w:rsidR="00525F46" w:rsidRPr="00525F46" w:rsidRDefault="00525F46" w:rsidP="00D06CF8">
            <w:pPr>
              <w:tabs>
                <w:tab w:val="left" w:pos="8543"/>
              </w:tabs>
              <w:rPr>
                <w:rFonts w:ascii="Times New Roman" w:hAnsi="Times New Roman"/>
                <w:b/>
              </w:rPr>
            </w:pPr>
            <w:r w:rsidRPr="00525F46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4519553F" wp14:editId="2532FB22">
                  <wp:extent cx="5050731" cy="1595120"/>
                  <wp:effectExtent l="0" t="0" r="0" b="5080"/>
                  <wp:docPr id="8" name="Рисунок 8" descr="Z:\РЕГЛАМЕНТЫ\2025_ ДЕЙСТВУЮЩИЕ ВНД\Отдел управления активами\Доверительное управление\09.02.26 ДУ\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Z:\РЕГЛАМЕНТЫ\2025_ ДЕЙСТВУЮЩИЕ ВНД\Отдел управления активами\Доверительное управление\09.02.26 ДУ\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285" cy="160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52969E" w14:textId="77777777" w:rsidR="00D06CF8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6E3C2B24" w14:textId="2A498DAB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  <w:noProof/>
                <w:lang w:eastAsia="ru-RU"/>
              </w:rPr>
              <w:pict w14:anchorId="76F06C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2" type="#_x0000_t75" style="width:410.5pt;height:234.25pt">
                  <v:imagedata r:id="rId11" o:title="1"/>
                </v:shape>
              </w:pict>
            </w:r>
          </w:p>
        </w:tc>
      </w:tr>
      <w:tr w:rsidR="00525F46" w14:paraId="762DC43D" w14:textId="77777777" w:rsidTr="00525F46">
        <w:tc>
          <w:tcPr>
            <w:tcW w:w="7602" w:type="dxa"/>
          </w:tcPr>
          <w:p w14:paraId="3E4B93B3" w14:textId="77777777" w:rsidR="00D06CF8" w:rsidRPr="00525F46" w:rsidRDefault="00D06CF8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</w:rPr>
              <w:t xml:space="preserve">Приложение №2а </w:t>
            </w:r>
            <w:r w:rsidRPr="00525F46">
              <w:rPr>
                <w:rFonts w:ascii="Times New Roman" w:hAnsi="Times New Roman"/>
                <w:bCs/>
              </w:rPr>
              <w:t>Таблица баллов для составления Инвестиционного Профиля клиента</w:t>
            </w:r>
          </w:p>
          <w:p w14:paraId="4EDE89D1" w14:textId="77777777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10338FE6" w14:textId="4806C3FE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CDB0D9B" wp14:editId="3FA8C127">
                  <wp:extent cx="4348480" cy="1584325"/>
                  <wp:effectExtent l="0" t="0" r="0" b="0"/>
                  <wp:docPr id="5" name="Рисунок 5" descr="C:\Users\aabdullaev\AppData\Local\Microsoft\Windows\INetCache\Content.Word\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aabdullaev\AppData\Local\Microsoft\Windows\INetCache\Content.Word\3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480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</w:tcPr>
          <w:p w14:paraId="1C4222BF" w14:textId="6BE4BC9B" w:rsidR="00D06CF8" w:rsidRPr="00525F46" w:rsidRDefault="00D06CF8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</w:rPr>
              <w:t>Приложение №</w:t>
            </w:r>
            <w:r w:rsidRPr="00525F46">
              <w:rPr>
                <w:rFonts w:ascii="Times New Roman" w:hAnsi="Times New Roman"/>
              </w:rPr>
              <w:t xml:space="preserve">2а </w:t>
            </w:r>
            <w:r w:rsidRPr="00525F46">
              <w:rPr>
                <w:rFonts w:ascii="Times New Roman" w:hAnsi="Times New Roman"/>
                <w:bCs/>
              </w:rPr>
              <w:t>Таблица баллов для составления Инвестиционного Профиля клиента</w:t>
            </w:r>
          </w:p>
          <w:p w14:paraId="41247D72" w14:textId="3929331C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525F46">
              <w:rPr>
                <w:rFonts w:ascii="Times New Roman" w:hAnsi="Times New Roman"/>
                <w:bCs/>
              </w:rPr>
              <w:t>…</w:t>
            </w:r>
          </w:p>
          <w:p w14:paraId="252421B4" w14:textId="154BDC17" w:rsidR="00525F46" w:rsidRPr="00525F46" w:rsidRDefault="00525F46" w:rsidP="00443423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5635ABF" wp14:editId="464ACDA8">
                  <wp:extent cx="5060950" cy="1647825"/>
                  <wp:effectExtent l="0" t="0" r="6350" b="9525"/>
                  <wp:docPr id="6" name="Рисунок 6" descr="C:\Users\aabdullaev\AppData\Local\Microsoft\Windows\INetCache\Content.Word\3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:\Users\aabdullaev\AppData\Local\Microsoft\Windows\INetCache\Content.Word\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F46" w14:paraId="0E5F9AEF" w14:textId="77777777" w:rsidTr="00525F46">
        <w:tc>
          <w:tcPr>
            <w:tcW w:w="7602" w:type="dxa"/>
          </w:tcPr>
          <w:p w14:paraId="0F54108A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Приложение №3 Инвестиционный профиль Учредителя управления</w:t>
            </w:r>
          </w:p>
          <w:p w14:paraId="6C2116F6" w14:textId="77777777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…</w:t>
            </w:r>
          </w:p>
          <w:p w14:paraId="49B5B6AE" w14:textId="5179081A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С данными Инвестиционного профиля согласен(на):</w:t>
            </w:r>
          </w:p>
        </w:tc>
        <w:tc>
          <w:tcPr>
            <w:tcW w:w="7786" w:type="dxa"/>
          </w:tcPr>
          <w:p w14:paraId="3C071D4A" w14:textId="270B410C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  <w:b/>
              </w:rPr>
            </w:pPr>
            <w:r w:rsidRPr="00525F46">
              <w:rPr>
                <w:rFonts w:ascii="Times New Roman" w:hAnsi="Times New Roman"/>
              </w:rPr>
              <w:t>Приложение №3 Инвестиционный профиль Учредителя управления</w:t>
            </w:r>
          </w:p>
          <w:p w14:paraId="75CB24B3" w14:textId="38449094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  <w:b/>
              </w:rPr>
            </w:pPr>
            <w:r w:rsidRPr="00525F46">
              <w:rPr>
                <w:rFonts w:ascii="Times New Roman" w:hAnsi="Times New Roman"/>
                <w:b/>
              </w:rPr>
              <w:t>…</w:t>
            </w:r>
          </w:p>
          <w:p w14:paraId="00A78F0F" w14:textId="77777777" w:rsidR="00D06CF8" w:rsidRPr="00525F46" w:rsidRDefault="00D06CF8" w:rsidP="00D06CF8">
            <w:pPr>
              <w:jc w:val="both"/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Настоящей подписью: </w:t>
            </w:r>
          </w:p>
          <w:p w14:paraId="3727DFEE" w14:textId="77777777" w:rsidR="00D06CF8" w:rsidRPr="00525F46" w:rsidRDefault="00D06CF8" w:rsidP="00D06CF8">
            <w:pPr>
              <w:jc w:val="both"/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выражаю свое согласие / не согласие (</w:t>
            </w:r>
            <w:r w:rsidRPr="00525F46">
              <w:rPr>
                <w:rFonts w:ascii="Times New Roman" w:hAnsi="Times New Roman"/>
                <w:i/>
              </w:rPr>
              <w:t>не нужное зачеркнуть</w:t>
            </w:r>
            <w:r w:rsidRPr="00525F46">
              <w:rPr>
                <w:rFonts w:ascii="Times New Roman" w:hAnsi="Times New Roman"/>
              </w:rPr>
              <w:t xml:space="preserve">) с присвоенным мне Инвестиционным профилем. </w:t>
            </w:r>
          </w:p>
          <w:p w14:paraId="0FC6911F" w14:textId="77777777" w:rsidR="00D06CF8" w:rsidRPr="00525F46" w:rsidRDefault="00D06CF8" w:rsidP="00D06CF8">
            <w:pPr>
              <w:jc w:val="both"/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 xml:space="preserve">подтверждаю достоверность указанных данных, принимаю риски, возникающие при предоставлении мною неполной или недостоверной информации; </w:t>
            </w:r>
          </w:p>
          <w:p w14:paraId="5B2DFD69" w14:textId="4FBA012B" w:rsidR="00D06CF8" w:rsidRPr="00525F46" w:rsidRDefault="00D06CF8" w:rsidP="00D06CF8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525F46">
              <w:rPr>
                <w:rFonts w:ascii="Times New Roman" w:hAnsi="Times New Roman"/>
              </w:rPr>
              <w:t>подтверждаю, что проинформирован о необходимости своевременно уведомлять Доверительного управляющего об изменении сведений, предоставленных ранее для определения инвестиционного профиля Клиента, а также об освобождении Доверительного управляющего от любой ответственности, связанной с неполучением таких сведений.</w:t>
            </w:r>
          </w:p>
        </w:tc>
      </w:tr>
    </w:tbl>
    <w:p w14:paraId="01E61FC1" w14:textId="768342B1" w:rsidR="00B8415C" w:rsidRPr="00D978D2" w:rsidRDefault="00B8415C" w:rsidP="00D978D2">
      <w:pPr>
        <w:tabs>
          <w:tab w:val="left" w:pos="8543"/>
        </w:tabs>
      </w:pPr>
    </w:p>
    <w:sectPr w:rsidR="00B8415C" w:rsidRPr="00D978D2" w:rsidSect="000451EF">
      <w:footerReference w:type="default" r:id="rId14"/>
      <w:pgSz w:w="16838" w:h="11906" w:orient="landscape"/>
      <w:pgMar w:top="720" w:right="720" w:bottom="720" w:left="720" w:header="0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A027" w14:textId="77777777" w:rsidR="00E1061F" w:rsidRDefault="00E1061F">
      <w:r>
        <w:separator/>
      </w:r>
    </w:p>
  </w:endnote>
  <w:endnote w:type="continuationSeparator" w:id="0">
    <w:p w14:paraId="238318C0" w14:textId="77777777" w:rsidR="00E1061F" w:rsidRDefault="00E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7D29" w14:textId="6B916F70" w:rsidR="008142F4" w:rsidRPr="00D978D2" w:rsidRDefault="00903146">
    <w:pPr>
      <w:pStyle w:val="a4"/>
      <w:jc w:val="center"/>
      <w:rPr>
        <w:rFonts w:ascii="Garamond" w:hAnsi="Garamond"/>
        <w:color w:val="808080"/>
        <w:spacing w:val="26"/>
        <w:sz w:val="20"/>
      </w:rPr>
    </w:pPr>
    <w:r>
      <w:rPr>
        <w:rFonts w:ascii="Garamond" w:hAnsi="Garamond"/>
        <w:noProof/>
        <w:color w:val="808080"/>
        <w:spacing w:val="26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EF561B" wp14:editId="3E3562D5">
              <wp:simplePos x="0" y="0"/>
              <wp:positionH relativeFrom="column">
                <wp:posOffset>-19051</wp:posOffset>
              </wp:positionH>
              <wp:positionV relativeFrom="paragraph">
                <wp:posOffset>-20320</wp:posOffset>
              </wp:positionV>
              <wp:extent cx="98012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012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3B18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.6pt" to="770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" o:allowincell="f" strokeweight="3pt">
              <v:stroke linestyle="thinThin"/>
            </v:line>
          </w:pict>
        </mc:Fallback>
      </mc:AlternateContent>
    </w:r>
    <w:r w:rsidR="008142F4">
      <w:rPr>
        <w:rFonts w:ascii="Garamond" w:hAnsi="Garamond"/>
        <w:color w:val="808080"/>
        <w:spacing w:val="26"/>
        <w:sz w:val="20"/>
      </w:rPr>
      <w:t>Россия, 420043, Республика Татарстан, г. Казань, ул. Вишневского, д.6</w:t>
    </w:r>
    <w:r w:rsidR="00D978D2" w:rsidRPr="00D978D2">
      <w:rPr>
        <w:rFonts w:ascii="Garamond" w:hAnsi="Garamond"/>
        <w:color w:val="808080"/>
        <w:spacing w:val="26"/>
        <w:sz w:val="20"/>
      </w:rPr>
      <w:t>/44</w:t>
    </w:r>
  </w:p>
  <w:p w14:paraId="4654633D" w14:textId="77777777" w:rsidR="008142F4" w:rsidRPr="00F84699" w:rsidRDefault="008142F4">
    <w:pPr>
      <w:pStyle w:val="a4"/>
      <w:jc w:val="center"/>
      <w:rPr>
        <w:rFonts w:ascii="Garamond" w:hAnsi="Garamond"/>
        <w:color w:val="808080"/>
        <w:spacing w:val="26"/>
        <w:sz w:val="20"/>
        <w:lang w:val="en-US"/>
      </w:rPr>
    </w:pPr>
    <w:r>
      <w:rPr>
        <w:rFonts w:ascii="Garamond" w:hAnsi="Garamond"/>
        <w:color w:val="808080"/>
        <w:spacing w:val="26"/>
        <w:sz w:val="20"/>
      </w:rPr>
      <w:t>Тел</w:t>
    </w:r>
    <w:r w:rsidRPr="00F84699">
      <w:rPr>
        <w:rFonts w:ascii="Garamond" w:hAnsi="Garamond"/>
        <w:color w:val="808080"/>
        <w:spacing w:val="26"/>
        <w:sz w:val="20"/>
        <w:lang w:val="en-US"/>
      </w:rPr>
      <w:t xml:space="preserve">.: (843) </w:t>
    </w:r>
    <w:r w:rsidR="0048501C" w:rsidRPr="00F84699">
      <w:rPr>
        <w:rFonts w:ascii="Garamond" w:hAnsi="Garamond"/>
        <w:color w:val="808080"/>
        <w:spacing w:val="26"/>
        <w:sz w:val="20"/>
        <w:lang w:val="en-US"/>
      </w:rPr>
      <w:t>2</w:t>
    </w:r>
    <w:r w:rsidRPr="00F84699">
      <w:rPr>
        <w:rFonts w:ascii="Garamond" w:hAnsi="Garamond"/>
        <w:color w:val="808080"/>
        <w:spacing w:val="26"/>
        <w:sz w:val="20"/>
        <w:lang w:val="en-US"/>
      </w:rPr>
      <w:t>36-33-</w:t>
    </w:r>
    <w:proofErr w:type="gramStart"/>
    <w:r w:rsidRPr="00F84699">
      <w:rPr>
        <w:rFonts w:ascii="Garamond" w:hAnsi="Garamond"/>
        <w:color w:val="808080"/>
        <w:spacing w:val="26"/>
        <w:sz w:val="20"/>
        <w:lang w:val="en-US"/>
      </w:rPr>
      <w:t>42,</w:t>
    </w:r>
    <w:r>
      <w:rPr>
        <w:rFonts w:ascii="Garamond" w:hAnsi="Garamond"/>
        <w:color w:val="808080"/>
        <w:spacing w:val="26"/>
        <w:sz w:val="20"/>
        <w:lang w:val="en-US"/>
      </w:rPr>
      <w:t>e</w:t>
    </w:r>
    <w:r w:rsidRPr="00F84699">
      <w:rPr>
        <w:rFonts w:ascii="Garamond" w:hAnsi="Garamond"/>
        <w:color w:val="808080"/>
        <w:spacing w:val="26"/>
        <w:sz w:val="20"/>
        <w:lang w:val="en-US"/>
      </w:rPr>
      <w:t>-</w:t>
    </w:r>
    <w:r>
      <w:rPr>
        <w:rFonts w:ascii="Garamond" w:hAnsi="Garamond"/>
        <w:color w:val="808080"/>
        <w:spacing w:val="26"/>
        <w:sz w:val="20"/>
        <w:lang w:val="en-US"/>
      </w:rPr>
      <w:t>mail</w:t>
    </w:r>
    <w:proofErr w:type="gramEnd"/>
    <w:r w:rsidRPr="00F84699">
      <w:rPr>
        <w:rFonts w:ascii="Garamond" w:hAnsi="Garamond"/>
        <w:color w:val="808080"/>
        <w:spacing w:val="26"/>
        <w:sz w:val="20"/>
        <w:lang w:val="en-US"/>
      </w:rPr>
      <w:t xml:space="preserve">: </w:t>
    </w:r>
    <w:r>
      <w:rPr>
        <w:rFonts w:ascii="Garamond" w:hAnsi="Garamond"/>
        <w:color w:val="808080"/>
        <w:spacing w:val="26"/>
        <w:sz w:val="20"/>
        <w:lang w:val="en-US"/>
      </w:rPr>
      <w:t>office</w:t>
    </w:r>
    <w:r w:rsidRPr="00F84699">
      <w:rPr>
        <w:rFonts w:ascii="Garamond" w:hAnsi="Garamond"/>
        <w:color w:val="808080"/>
        <w:spacing w:val="26"/>
        <w:sz w:val="20"/>
        <w:lang w:val="en-US"/>
      </w:rPr>
      <w:t>@</w:t>
    </w:r>
    <w:r>
      <w:rPr>
        <w:rFonts w:ascii="Garamond" w:hAnsi="Garamond"/>
        <w:color w:val="808080"/>
        <w:spacing w:val="26"/>
        <w:sz w:val="20"/>
        <w:lang w:val="en-US"/>
      </w:rPr>
      <w:t>taif</w:t>
    </w:r>
    <w:r w:rsidRPr="00F84699">
      <w:rPr>
        <w:rFonts w:ascii="Garamond" w:hAnsi="Garamond"/>
        <w:color w:val="808080"/>
        <w:spacing w:val="26"/>
        <w:sz w:val="20"/>
        <w:lang w:val="en-US"/>
      </w:rPr>
      <w:t>-</w:t>
    </w:r>
    <w:r>
      <w:rPr>
        <w:rFonts w:ascii="Garamond" w:hAnsi="Garamond"/>
        <w:color w:val="808080"/>
        <w:spacing w:val="26"/>
        <w:sz w:val="20"/>
        <w:lang w:val="en-US"/>
      </w:rPr>
      <w:t>invest</w:t>
    </w:r>
    <w:r w:rsidRPr="00F84699">
      <w:rPr>
        <w:rFonts w:ascii="Garamond" w:hAnsi="Garamond"/>
        <w:color w:val="808080"/>
        <w:spacing w:val="26"/>
        <w:sz w:val="20"/>
        <w:lang w:val="en-US"/>
      </w:rPr>
      <w:t>.</w:t>
    </w:r>
    <w:r>
      <w:rPr>
        <w:rFonts w:ascii="Garamond" w:hAnsi="Garamond"/>
        <w:color w:val="808080"/>
        <w:spacing w:val="26"/>
        <w:sz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7702" w14:textId="77777777" w:rsidR="00E1061F" w:rsidRDefault="00E1061F">
      <w:r>
        <w:separator/>
      </w:r>
    </w:p>
  </w:footnote>
  <w:footnote w:type="continuationSeparator" w:id="0">
    <w:p w14:paraId="5538E116" w14:textId="77777777" w:rsidR="00E1061F" w:rsidRDefault="00E1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591481"/>
    <w:multiLevelType w:val="hybridMultilevel"/>
    <w:tmpl w:val="A3B6280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EB04FA"/>
    <w:multiLevelType w:val="multilevel"/>
    <w:tmpl w:val="82FCA38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30C12965"/>
    <w:multiLevelType w:val="hybridMultilevel"/>
    <w:tmpl w:val="82EAD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2FE6C31"/>
    <w:multiLevelType w:val="hybridMultilevel"/>
    <w:tmpl w:val="F41A1786"/>
    <w:lvl w:ilvl="0" w:tplc="B4F00E6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  <w:u w:color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7970"/>
    <w:multiLevelType w:val="hybridMultilevel"/>
    <w:tmpl w:val="8CB0C06A"/>
    <w:lvl w:ilvl="0" w:tplc="15B42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790763A7"/>
    <w:multiLevelType w:val="hybridMultilevel"/>
    <w:tmpl w:val="FFFFFFFF"/>
    <w:lvl w:ilvl="0" w:tplc="8BBAC4BA">
      <w:numFmt w:val="bullet"/>
      <w:lvlText w:val="□"/>
      <w:lvlJc w:val="left"/>
      <w:pPr>
        <w:ind w:left="287" w:hanging="185"/>
      </w:pPr>
      <w:rPr>
        <w:rFonts w:ascii="Calibri" w:eastAsia="Times New Roman" w:hAnsi="Calibri" w:hint="default"/>
        <w:w w:val="100"/>
        <w:sz w:val="22"/>
      </w:rPr>
    </w:lvl>
    <w:lvl w:ilvl="1" w:tplc="CC625DC6">
      <w:numFmt w:val="bullet"/>
      <w:lvlText w:val="•"/>
      <w:lvlJc w:val="left"/>
      <w:pPr>
        <w:ind w:left="862" w:hanging="185"/>
      </w:pPr>
      <w:rPr>
        <w:rFonts w:hint="default"/>
      </w:rPr>
    </w:lvl>
    <w:lvl w:ilvl="2" w:tplc="04547080">
      <w:numFmt w:val="bullet"/>
      <w:lvlText w:val="•"/>
      <w:lvlJc w:val="left"/>
      <w:pPr>
        <w:ind w:left="1444" w:hanging="185"/>
      </w:pPr>
      <w:rPr>
        <w:rFonts w:hint="default"/>
      </w:rPr>
    </w:lvl>
    <w:lvl w:ilvl="3" w:tplc="80B40A12">
      <w:numFmt w:val="bullet"/>
      <w:lvlText w:val="•"/>
      <w:lvlJc w:val="left"/>
      <w:pPr>
        <w:ind w:left="2027" w:hanging="185"/>
      </w:pPr>
      <w:rPr>
        <w:rFonts w:hint="default"/>
      </w:rPr>
    </w:lvl>
    <w:lvl w:ilvl="4" w:tplc="C9623850">
      <w:numFmt w:val="bullet"/>
      <w:lvlText w:val="•"/>
      <w:lvlJc w:val="left"/>
      <w:pPr>
        <w:ind w:left="2609" w:hanging="185"/>
      </w:pPr>
      <w:rPr>
        <w:rFonts w:hint="default"/>
      </w:rPr>
    </w:lvl>
    <w:lvl w:ilvl="5" w:tplc="D9AE95EA">
      <w:numFmt w:val="bullet"/>
      <w:lvlText w:val="•"/>
      <w:lvlJc w:val="left"/>
      <w:pPr>
        <w:ind w:left="3192" w:hanging="185"/>
      </w:pPr>
      <w:rPr>
        <w:rFonts w:hint="default"/>
      </w:rPr>
    </w:lvl>
    <w:lvl w:ilvl="6" w:tplc="B83A0F9C">
      <w:numFmt w:val="bullet"/>
      <w:lvlText w:val="•"/>
      <w:lvlJc w:val="left"/>
      <w:pPr>
        <w:ind w:left="3774" w:hanging="185"/>
      </w:pPr>
      <w:rPr>
        <w:rFonts w:hint="default"/>
      </w:rPr>
    </w:lvl>
    <w:lvl w:ilvl="7" w:tplc="411C5D20">
      <w:numFmt w:val="bullet"/>
      <w:lvlText w:val="•"/>
      <w:lvlJc w:val="left"/>
      <w:pPr>
        <w:ind w:left="4357" w:hanging="185"/>
      </w:pPr>
      <w:rPr>
        <w:rFonts w:hint="default"/>
      </w:rPr>
    </w:lvl>
    <w:lvl w:ilvl="8" w:tplc="23DAA500">
      <w:numFmt w:val="bullet"/>
      <w:lvlText w:val="•"/>
      <w:lvlJc w:val="left"/>
      <w:pPr>
        <w:ind w:left="4939" w:hanging="185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B"/>
    <w:rsid w:val="000451EF"/>
    <w:rsid w:val="00090CD9"/>
    <w:rsid w:val="000A71FE"/>
    <w:rsid w:val="000B3F28"/>
    <w:rsid w:val="000B77ED"/>
    <w:rsid w:val="000C7CE0"/>
    <w:rsid w:val="000E259C"/>
    <w:rsid w:val="00101693"/>
    <w:rsid w:val="0011049A"/>
    <w:rsid w:val="00125643"/>
    <w:rsid w:val="00133F6E"/>
    <w:rsid w:val="0013636A"/>
    <w:rsid w:val="00157295"/>
    <w:rsid w:val="00172F81"/>
    <w:rsid w:val="00176873"/>
    <w:rsid w:val="001860D9"/>
    <w:rsid w:val="001A0490"/>
    <w:rsid w:val="001B077E"/>
    <w:rsid w:val="001B6D78"/>
    <w:rsid w:val="001D0023"/>
    <w:rsid w:val="001D0C87"/>
    <w:rsid w:val="001D69D6"/>
    <w:rsid w:val="001E5972"/>
    <w:rsid w:val="00226392"/>
    <w:rsid w:val="002441D1"/>
    <w:rsid w:val="00246303"/>
    <w:rsid w:val="00264985"/>
    <w:rsid w:val="002A5B80"/>
    <w:rsid w:val="002A5FF8"/>
    <w:rsid w:val="002B1E27"/>
    <w:rsid w:val="002C3AAD"/>
    <w:rsid w:val="002D748E"/>
    <w:rsid w:val="002F427B"/>
    <w:rsid w:val="002F4924"/>
    <w:rsid w:val="002F521B"/>
    <w:rsid w:val="002F5B7E"/>
    <w:rsid w:val="00304537"/>
    <w:rsid w:val="003176CA"/>
    <w:rsid w:val="00325E27"/>
    <w:rsid w:val="00341962"/>
    <w:rsid w:val="00350F54"/>
    <w:rsid w:val="00355BCC"/>
    <w:rsid w:val="0036007E"/>
    <w:rsid w:val="00380577"/>
    <w:rsid w:val="00380EDB"/>
    <w:rsid w:val="00383654"/>
    <w:rsid w:val="00387AB2"/>
    <w:rsid w:val="00393D97"/>
    <w:rsid w:val="003B1F96"/>
    <w:rsid w:val="003F13C9"/>
    <w:rsid w:val="003F4F02"/>
    <w:rsid w:val="003F53BC"/>
    <w:rsid w:val="004021B0"/>
    <w:rsid w:val="00403B52"/>
    <w:rsid w:val="004122F9"/>
    <w:rsid w:val="00417BBC"/>
    <w:rsid w:val="00443423"/>
    <w:rsid w:val="0045103A"/>
    <w:rsid w:val="0048501C"/>
    <w:rsid w:val="004C1B65"/>
    <w:rsid w:val="004C6201"/>
    <w:rsid w:val="004D3BDB"/>
    <w:rsid w:val="00506F51"/>
    <w:rsid w:val="00516C9C"/>
    <w:rsid w:val="00525F46"/>
    <w:rsid w:val="00547DEE"/>
    <w:rsid w:val="0055046E"/>
    <w:rsid w:val="005510DE"/>
    <w:rsid w:val="00555C6E"/>
    <w:rsid w:val="005A3FE9"/>
    <w:rsid w:val="005A4CA3"/>
    <w:rsid w:val="005A6CE6"/>
    <w:rsid w:val="005C291C"/>
    <w:rsid w:val="005D4A97"/>
    <w:rsid w:val="005E06B8"/>
    <w:rsid w:val="005F291C"/>
    <w:rsid w:val="006113AC"/>
    <w:rsid w:val="00630300"/>
    <w:rsid w:val="00665104"/>
    <w:rsid w:val="00675FB6"/>
    <w:rsid w:val="006820AA"/>
    <w:rsid w:val="006962D5"/>
    <w:rsid w:val="006C4BDF"/>
    <w:rsid w:val="00700A6F"/>
    <w:rsid w:val="007046E9"/>
    <w:rsid w:val="00715690"/>
    <w:rsid w:val="007216D9"/>
    <w:rsid w:val="00730EBF"/>
    <w:rsid w:val="00731354"/>
    <w:rsid w:val="00734483"/>
    <w:rsid w:val="0074549B"/>
    <w:rsid w:val="00752600"/>
    <w:rsid w:val="007653C0"/>
    <w:rsid w:val="00773374"/>
    <w:rsid w:val="0078546A"/>
    <w:rsid w:val="007B4131"/>
    <w:rsid w:val="007B4C3C"/>
    <w:rsid w:val="007B6FAC"/>
    <w:rsid w:val="007C1AAA"/>
    <w:rsid w:val="007F3A35"/>
    <w:rsid w:val="00802975"/>
    <w:rsid w:val="008142F4"/>
    <w:rsid w:val="0083386B"/>
    <w:rsid w:val="00840B10"/>
    <w:rsid w:val="008421BC"/>
    <w:rsid w:val="008856A6"/>
    <w:rsid w:val="008A2F5F"/>
    <w:rsid w:val="008D5F64"/>
    <w:rsid w:val="008E14A7"/>
    <w:rsid w:val="008E45A9"/>
    <w:rsid w:val="00903146"/>
    <w:rsid w:val="00906AED"/>
    <w:rsid w:val="00920A81"/>
    <w:rsid w:val="00940820"/>
    <w:rsid w:val="00985954"/>
    <w:rsid w:val="009963F0"/>
    <w:rsid w:val="009B1277"/>
    <w:rsid w:val="009B34C6"/>
    <w:rsid w:val="009F2227"/>
    <w:rsid w:val="00A23793"/>
    <w:rsid w:val="00A303EA"/>
    <w:rsid w:val="00A328A7"/>
    <w:rsid w:val="00A42DEA"/>
    <w:rsid w:val="00A4450D"/>
    <w:rsid w:val="00A83124"/>
    <w:rsid w:val="00A95522"/>
    <w:rsid w:val="00AA078A"/>
    <w:rsid w:val="00AC38AA"/>
    <w:rsid w:val="00AD74F4"/>
    <w:rsid w:val="00AE4E07"/>
    <w:rsid w:val="00B169A8"/>
    <w:rsid w:val="00B17125"/>
    <w:rsid w:val="00B3132D"/>
    <w:rsid w:val="00B41484"/>
    <w:rsid w:val="00B42E4F"/>
    <w:rsid w:val="00B47353"/>
    <w:rsid w:val="00B563F4"/>
    <w:rsid w:val="00B653C3"/>
    <w:rsid w:val="00B8119A"/>
    <w:rsid w:val="00B8415C"/>
    <w:rsid w:val="00BB2427"/>
    <w:rsid w:val="00BC2F2C"/>
    <w:rsid w:val="00C101A9"/>
    <w:rsid w:val="00C12C17"/>
    <w:rsid w:val="00C22909"/>
    <w:rsid w:val="00C33352"/>
    <w:rsid w:val="00C33AD0"/>
    <w:rsid w:val="00C6762E"/>
    <w:rsid w:val="00C9093B"/>
    <w:rsid w:val="00CC2810"/>
    <w:rsid w:val="00CE6FDF"/>
    <w:rsid w:val="00CF50DB"/>
    <w:rsid w:val="00D06CF8"/>
    <w:rsid w:val="00D16EBB"/>
    <w:rsid w:val="00D21CA5"/>
    <w:rsid w:val="00D25EC5"/>
    <w:rsid w:val="00D4658B"/>
    <w:rsid w:val="00D55455"/>
    <w:rsid w:val="00D76FC8"/>
    <w:rsid w:val="00D814A6"/>
    <w:rsid w:val="00D978D2"/>
    <w:rsid w:val="00DA63D0"/>
    <w:rsid w:val="00DB0BCB"/>
    <w:rsid w:val="00DB3FE8"/>
    <w:rsid w:val="00DB7941"/>
    <w:rsid w:val="00DB7E94"/>
    <w:rsid w:val="00DC2C99"/>
    <w:rsid w:val="00DC4B49"/>
    <w:rsid w:val="00DE0CD9"/>
    <w:rsid w:val="00DF2893"/>
    <w:rsid w:val="00E1061F"/>
    <w:rsid w:val="00E30569"/>
    <w:rsid w:val="00E32B51"/>
    <w:rsid w:val="00E3383A"/>
    <w:rsid w:val="00E55AD7"/>
    <w:rsid w:val="00E70112"/>
    <w:rsid w:val="00E70F7D"/>
    <w:rsid w:val="00E822E4"/>
    <w:rsid w:val="00E87786"/>
    <w:rsid w:val="00EB608D"/>
    <w:rsid w:val="00EC0D1D"/>
    <w:rsid w:val="00EC1868"/>
    <w:rsid w:val="00EC581E"/>
    <w:rsid w:val="00ED3BD2"/>
    <w:rsid w:val="00EF4A0A"/>
    <w:rsid w:val="00EF4BF1"/>
    <w:rsid w:val="00F10580"/>
    <w:rsid w:val="00F1346E"/>
    <w:rsid w:val="00F84699"/>
    <w:rsid w:val="00FB0FA9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3CC5C9"/>
  <w15:chartTrackingRefBased/>
  <w15:docId w15:val="{B5D262FB-1CDB-4D6A-8175-3B2E769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06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506F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41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аркированный список1"/>
    <w:basedOn w:val="a"/>
    <w:rsid w:val="0055046E"/>
    <w:pPr>
      <w:numPr>
        <w:numId w:val="5"/>
      </w:numPr>
      <w:autoSpaceDE w:val="0"/>
      <w:autoSpaceDN w:val="0"/>
      <w:adjustRightInd w:val="0"/>
      <w:spacing w:before="60" w:line="240" w:lineRule="exact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6C4BDF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rsid w:val="006C4BDF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6C4BDF"/>
    <w:rPr>
      <w:vertAlign w:val="superscript"/>
    </w:rPr>
  </w:style>
  <w:style w:type="paragraph" w:styleId="ab">
    <w:name w:val="Normal (Web)"/>
    <w:basedOn w:val="a"/>
    <w:uiPriority w:val="99"/>
    <w:unhideWhenUsed/>
    <w:rsid w:val="006C4BDF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6C4BD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3423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D06CF8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11">
    <w:name w:val="Заголовок 1 Знак"/>
    <w:basedOn w:val="a0"/>
    <w:link w:val="10"/>
    <w:rsid w:val="00D06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459A-25E4-4EEC-A585-CE8A0019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2069</Words>
  <Characters>16250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ООО ТАИФ-Инвест</Company>
  <LinksUpToDate>false</LinksUpToDate>
  <CharactersWithSpaces>18283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Jenya</dc:creator>
  <cp:keywords>Birthday</cp:keywords>
  <dc:description>Shankar's Birthday falls on 25th July.  Don't Forget to wish him</dc:description>
  <cp:lastModifiedBy>Акмаль Ю. Абдуллаев</cp:lastModifiedBy>
  <cp:revision>12</cp:revision>
  <cp:lastPrinted>2025-09-16T13:29:00Z</cp:lastPrinted>
  <dcterms:created xsi:type="dcterms:W3CDTF">2025-09-17T05:57:00Z</dcterms:created>
  <dcterms:modified xsi:type="dcterms:W3CDTF">2026-02-10T13:15:00Z</dcterms:modified>
</cp:coreProperties>
</file>